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ind w:firstLine="1280" w:firstLineChars="4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财务网上资产报销与日常报销合并提交操作</w:t>
      </w:r>
      <w:r>
        <w:rPr>
          <w:rFonts w:hint="eastAsia"/>
          <w:sz w:val="32"/>
          <w:szCs w:val="32"/>
          <w:lang w:eastAsia="zh-CN"/>
        </w:rPr>
        <w:t>流程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操作步骤如下：</w:t>
      </w:r>
    </w:p>
    <w:p>
      <w:pPr>
        <w:numPr>
          <w:ilvl w:val="0"/>
          <w:numId w:val="1"/>
        </w:numPr>
        <w:ind w:left="28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登录系统选择网上报销系统</w:t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71770" cy="2613660"/>
            <wp:effectExtent l="0" t="0" r="11430" b="25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28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先做资产报销单</w:t>
      </w:r>
    </w:p>
    <w:p>
      <w:pPr>
        <w:widowControl w:val="0"/>
        <w:numPr>
          <w:ilvl w:val="0"/>
          <w:numId w:val="0"/>
        </w:numPr>
        <w:ind w:left="280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2.1 点击资产报销-新业务填报</w:t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70500" cy="2089150"/>
            <wp:effectExtent l="0" t="0" r="0" b="635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="280"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2.2 输入资产验收单编号（注：如有一张发票上有多个资产的、可连续输入多个资产验收单编号）-输入附件张数-选择报销的项目-确认填写信息无误后-下一步（支付方式）</w:t>
      </w:r>
    </w:p>
    <w:p>
      <w:pPr>
        <w:widowControl w:val="0"/>
        <w:numPr>
          <w:ilvl w:val="0"/>
          <w:numId w:val="0"/>
        </w:numPr>
        <w:ind w:left="280" w:leftChars="0" w:firstLine="420" w:firstLineChars="200"/>
        <w:jc w:val="both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注：如此笔金额11750是分俩个项目出的情况（或多个项目出的情况），请点击分拆按钮进行拆分。再选择对应的项目。</w:t>
      </w:r>
    </w:p>
    <w:p>
      <w:pPr>
        <w:widowControl w:val="0"/>
        <w:numPr>
          <w:ilvl w:val="0"/>
          <w:numId w:val="0"/>
        </w:numPr>
        <w:ind w:left="280" w:leftChars="0"/>
        <w:jc w:val="both"/>
      </w:pPr>
      <w:r>
        <w:drawing>
          <wp:inline distT="0" distB="0" distL="114300" distR="114300">
            <wp:extent cx="5270500" cy="2222500"/>
            <wp:effectExtent l="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="280" w:leftChars="0"/>
        <w:jc w:val="both"/>
      </w:pPr>
    </w:p>
    <w:p>
      <w:pPr>
        <w:widowControl w:val="0"/>
        <w:numPr>
          <w:ilvl w:val="0"/>
          <w:numId w:val="0"/>
        </w:numPr>
        <w:ind w:left="280" w:leftChars="0"/>
        <w:jc w:val="both"/>
      </w:pPr>
      <w:r>
        <w:drawing>
          <wp:inline distT="0" distB="0" distL="114300" distR="114300">
            <wp:extent cx="5271770" cy="2359660"/>
            <wp:effectExtent l="0" t="0" r="11430" b="254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35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="280" w:leftChars="0"/>
        <w:jc w:val="both"/>
      </w:pPr>
    </w:p>
    <w:p>
      <w:pPr>
        <w:widowControl w:val="0"/>
        <w:numPr>
          <w:ilvl w:val="0"/>
          <w:numId w:val="0"/>
        </w:numPr>
        <w:ind w:left="280" w:leftChars="0"/>
        <w:jc w:val="both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2.3选择对应的支付方式-点下一步（保存资产合并提交）</w:t>
      </w:r>
      <w:r>
        <w:rPr>
          <w:rFonts w:hint="eastAsia"/>
          <w:color w:val="FF0000"/>
          <w:lang w:val="en-US" w:eastAsia="zh-CN"/>
        </w:rPr>
        <w:t>注：点一下就行了没有提示</w:t>
      </w:r>
    </w:p>
    <w:p>
      <w:pPr>
        <w:widowControl w:val="0"/>
        <w:numPr>
          <w:ilvl w:val="0"/>
          <w:numId w:val="0"/>
        </w:numPr>
        <w:ind w:left="280" w:leftChars="0"/>
        <w:jc w:val="both"/>
      </w:pPr>
      <w:r>
        <w:drawing>
          <wp:inline distT="0" distB="0" distL="114300" distR="114300">
            <wp:extent cx="5270500" cy="2628900"/>
            <wp:effectExtent l="0" t="0" r="0" b="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="280" w:leftChars="0"/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28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再做日常报销单</w:t>
      </w:r>
    </w:p>
    <w:p>
      <w:pPr>
        <w:numPr>
          <w:ilvl w:val="0"/>
          <w:numId w:val="0"/>
        </w:numPr>
        <w:ind w:left="280" w:leftChars="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280" w:leftChars="0" w:firstLine="42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>3.1点完下一步（保存继续填写）后直接点日常报销,新业务填报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70500" cy="1473200"/>
            <wp:effectExtent l="0" t="0" r="0" b="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280" w:leftChars="0" w:firstLine="420" w:firstLineChars="20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3.2选择项目-下一步（报销费用明细）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70500" cy="1352550"/>
            <wp:effectExtent l="0" t="0" r="0" b="635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280" w:leftChars="0" w:firstLine="420" w:firstLineChars="200"/>
      </w:pPr>
      <w:r>
        <w:rPr>
          <w:rFonts w:hint="eastAsia"/>
          <w:lang w:val="en-US" w:eastAsia="zh-CN"/>
        </w:rPr>
        <w:t>3.3填写报销信息-下一步（支付方式）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70500" cy="2051050"/>
            <wp:effectExtent l="0" t="0" r="0" b="635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>3.4选择对应的支付方式-点下一步（直接提交打印）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4150" cy="1987550"/>
            <wp:effectExtent l="0" t="0" r="6350" b="635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200"/>
      </w:pPr>
      <w:r>
        <w:rPr>
          <w:rFonts w:hint="eastAsia"/>
          <w:lang w:val="en-US" w:eastAsia="zh-CN"/>
        </w:rPr>
        <w:t>3.5选择合并的单据-点合并提交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70500" cy="1898650"/>
            <wp:effectExtent l="0" t="0" r="0" b="6350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9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200"/>
      </w:pPr>
      <w:r>
        <w:rPr>
          <w:rFonts w:hint="eastAsia"/>
          <w:lang w:val="en-US" w:eastAsia="zh-CN"/>
        </w:rPr>
        <w:t xml:space="preserve">3.6会打印出俩张单据但预约单号是一样的  </w:t>
      </w:r>
      <w:r>
        <w:rPr>
          <w:rFonts w:hint="eastAsia"/>
          <w:color w:val="FF0000"/>
          <w:lang w:val="en-US" w:eastAsia="zh-CN"/>
        </w:rPr>
        <w:t>注：如未打印出俩张单据请到已提交中去打印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4413250" cy="4927600"/>
            <wp:effectExtent l="0" t="0" r="6350" b="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13250" cy="49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337050" cy="4806950"/>
            <wp:effectExtent l="0" t="0" r="6350" b="6350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37050" cy="480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4BB45B"/>
    <w:multiLevelType w:val="singleLevel"/>
    <w:tmpl w:val="AC4BB45B"/>
    <w:lvl w:ilvl="0" w:tentative="0">
      <w:start w:val="1"/>
      <w:numFmt w:val="chineseCounting"/>
      <w:suff w:val="nothing"/>
      <w:lvlText w:val="%1、"/>
      <w:lvlJc w:val="left"/>
      <w:pPr>
        <w:ind w:left="28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92B48"/>
    <w:rsid w:val="1D9248D7"/>
    <w:rsid w:val="1DB61153"/>
    <w:rsid w:val="23C919F7"/>
    <w:rsid w:val="25E468FD"/>
    <w:rsid w:val="2C245851"/>
    <w:rsid w:val="2F364410"/>
    <w:rsid w:val="384963D0"/>
    <w:rsid w:val="43BE4B3E"/>
    <w:rsid w:val="468E7116"/>
    <w:rsid w:val="50AB4C8B"/>
    <w:rsid w:val="65076700"/>
    <w:rsid w:val="697C3EC8"/>
    <w:rsid w:val="72D47335"/>
    <w:rsid w:val="760D16D1"/>
    <w:rsid w:val="7BDC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玉圆</cp:lastModifiedBy>
  <dcterms:modified xsi:type="dcterms:W3CDTF">2021-06-09T09:50:40Z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